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93B8E" w14:textId="77777777" w:rsidR="00E15EB8" w:rsidRPr="008B3EDA" w:rsidRDefault="004E67CF" w:rsidP="004E67C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B3EDA">
        <w:rPr>
          <w:rFonts w:ascii="Times New Roman" w:hAnsi="Times New Roman" w:cs="Times New Roman"/>
          <w:b/>
          <w:bCs/>
          <w:sz w:val="28"/>
          <w:szCs w:val="28"/>
        </w:rPr>
        <w:t>Лекция 14</w:t>
      </w:r>
    </w:p>
    <w:p w14:paraId="63AE900C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67CF">
        <w:rPr>
          <w:rFonts w:ascii="Times New Roman" w:hAnsi="Times New Roman" w:cs="Times New Roman"/>
          <w:b/>
          <w:bCs/>
          <w:sz w:val="28"/>
          <w:szCs w:val="28"/>
        </w:rPr>
        <w:t>ГЕОДЕЗИЧЕСКИЕ РАБОТЫ ПРИ СТРОИТЕЛЬСТВЕ ТОННЕЛЕЙ</w:t>
      </w:r>
    </w:p>
    <w:p w14:paraId="3AD917EB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775A01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3EDA">
        <w:rPr>
          <w:rFonts w:ascii="Times New Roman" w:hAnsi="Times New Roman" w:cs="Times New Roman"/>
          <w:bCs/>
          <w:sz w:val="24"/>
          <w:szCs w:val="24"/>
        </w:rPr>
        <w:t>По назначению подземные сооружения подразделяют на тоннели на путях сообщения (железнодорожные, метрополитены, пешеходные), гидротехнические (в комплексах гидроузлов, водоснабжения, мелиорации), промышленные, горнопромышленные, коммунальные (водотоки, коллекторы и др.) и специальные тоннели.</w:t>
      </w:r>
    </w:p>
    <w:p w14:paraId="3EC4A4B7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3EDA">
        <w:rPr>
          <w:rFonts w:ascii="Times New Roman" w:hAnsi="Times New Roman" w:cs="Times New Roman"/>
          <w:bCs/>
          <w:sz w:val="24"/>
          <w:szCs w:val="24"/>
        </w:rPr>
        <w:t>Строят тоннели в зависимости от глубины заложения открытым способом или закрытым без нарушения сооружений на земной поверхности. Открытым способом сооружают обычно тоннели мелкого заложения. В незастроенной местности их строят в котлованах с откосами, а на застроенной — в котлованах со свайным или шпунтовым ограждением. В последнем случае сваи или шпунты забивают по контуру котлована. По мере его отрытия между сваями устанавливают деревянные или металлические распорки. На проектной глубине котлована укладывают подготовку из бетона, слой гидроизоляции и возводят защитные стенки также со слоем гидроизоляции. Затем бетонируют лоток и стены. После возведения стен до проектной отметки на них кладут перекрытие, а затем на него насыпают грунт до проектной отметки вертикальной планировки территории. Перегонные тоннели метрополитена строят, как правило, целыми блоками, изготовленными в заводских условиях.</w:t>
      </w:r>
    </w:p>
    <w:p w14:paraId="18EFDDD8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3EDA">
        <w:rPr>
          <w:rFonts w:ascii="Times New Roman" w:hAnsi="Times New Roman" w:cs="Times New Roman"/>
          <w:bCs/>
          <w:sz w:val="24"/>
          <w:szCs w:val="24"/>
        </w:rPr>
        <w:t xml:space="preserve">Тоннели глубокого заложения сооружают либо через </w:t>
      </w:r>
      <w:r w:rsidRPr="008B3EDA">
        <w:rPr>
          <w:rFonts w:ascii="Times New Roman" w:hAnsi="Times New Roman" w:cs="Times New Roman"/>
          <w:i/>
          <w:iCs/>
          <w:sz w:val="24"/>
          <w:szCs w:val="24"/>
        </w:rPr>
        <w:t xml:space="preserve">порталы, </w:t>
      </w:r>
      <w:r w:rsidRPr="008B3EDA">
        <w:rPr>
          <w:rFonts w:ascii="Times New Roman" w:hAnsi="Times New Roman" w:cs="Times New Roman"/>
          <w:bCs/>
          <w:sz w:val="24"/>
          <w:szCs w:val="24"/>
        </w:rPr>
        <w:t>которыми называют защитные стенки, оформляющие вход в тоннель, либо через вертикальные стволы шахт и специальные камеры. Через порталы строят чаще всего горные тоннели, а также тоннели, входящие в депо.</w:t>
      </w:r>
    </w:p>
    <w:p w14:paraId="451E6762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3EDA">
        <w:rPr>
          <w:rFonts w:ascii="Times New Roman" w:hAnsi="Times New Roman" w:cs="Times New Roman"/>
          <w:bCs/>
          <w:sz w:val="24"/>
          <w:szCs w:val="24"/>
        </w:rPr>
        <w:t xml:space="preserve">В горных условиях полотно железной дороги доводят до горного массива, затем производят выемку грунта и возводят защитную стенку, предназначенную для предохранения входа в тоннель от обвалов, снежных лавин и ливневых вод. Иногда перед порталом строят </w:t>
      </w:r>
      <w:r w:rsidRPr="008B3EDA">
        <w:rPr>
          <w:rFonts w:ascii="Times New Roman" w:hAnsi="Times New Roman" w:cs="Times New Roman"/>
          <w:i/>
          <w:iCs/>
          <w:sz w:val="24"/>
          <w:szCs w:val="24"/>
        </w:rPr>
        <w:t xml:space="preserve">рампу </w:t>
      </w:r>
      <w:r w:rsidRPr="008B3EDA">
        <w:rPr>
          <w:rFonts w:ascii="Times New Roman" w:hAnsi="Times New Roman" w:cs="Times New Roman"/>
          <w:bCs/>
          <w:sz w:val="24"/>
          <w:szCs w:val="24"/>
        </w:rPr>
        <w:t>— длинную, постепенно увеличивающуюся выемку, стенки которой укрепляют бетоном или камнем.</w:t>
      </w:r>
    </w:p>
    <w:p w14:paraId="3A70F21E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3EDA">
        <w:rPr>
          <w:rFonts w:ascii="Times New Roman" w:hAnsi="Times New Roman" w:cs="Times New Roman"/>
          <w:bCs/>
          <w:sz w:val="24"/>
          <w:szCs w:val="24"/>
        </w:rPr>
        <w:t xml:space="preserve">Тоннели метрополитена глубокого заложения сооружают обычно посредством вертикальных стволов шахт, которые для удобства при дальнейшей эксплуатации располагают на расстоянии 20... 50 м от трассы тоннеля. После проходки до проектной глубины и закрепления ствола 1 (рис. 27.1) под землей сооружают приствольные выработки </w:t>
      </w:r>
      <w:r w:rsidRPr="008B3EDA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2 </w:t>
      </w:r>
      <w:r w:rsidRPr="008B3EDA">
        <w:rPr>
          <w:rFonts w:ascii="Times New Roman" w:hAnsi="Times New Roman" w:cs="Times New Roman"/>
          <w:bCs/>
          <w:sz w:val="24"/>
          <w:szCs w:val="24"/>
        </w:rPr>
        <w:t xml:space="preserve">и штольни 3 для выхода от ствола на трассу тоннеля </w:t>
      </w:r>
      <w:r w:rsidRPr="008B3EDA">
        <w:rPr>
          <w:rFonts w:ascii="Times New Roman" w:hAnsi="Times New Roman" w:cs="Times New Roman"/>
          <w:i/>
          <w:iCs/>
          <w:sz w:val="24"/>
          <w:szCs w:val="24"/>
        </w:rPr>
        <w:t xml:space="preserve">4. </w:t>
      </w:r>
      <w:r w:rsidRPr="008B3EDA">
        <w:rPr>
          <w:rFonts w:ascii="Times New Roman" w:hAnsi="Times New Roman" w:cs="Times New Roman"/>
          <w:bCs/>
          <w:sz w:val="24"/>
          <w:szCs w:val="24"/>
        </w:rPr>
        <w:t xml:space="preserve">После выхода подходных штолен на трассу при сооружении тоннеля щитовым методом строят камеры для сборки щита. По внешнему контуру поперечного сечения тоннеля после выемки грунта сооружают постоянное крепление, называемое </w:t>
      </w:r>
      <w:r w:rsidRPr="008B3EDA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обделкой. </w:t>
      </w:r>
      <w:r w:rsidRPr="008B3EDA">
        <w:rPr>
          <w:rFonts w:ascii="Times New Roman" w:hAnsi="Times New Roman" w:cs="Times New Roman"/>
          <w:bCs/>
          <w:sz w:val="24"/>
          <w:szCs w:val="24"/>
        </w:rPr>
        <w:t>Она бывает металлическая или железобетонная и состоит из отдельных колец шириной 0,75... 1,0 м, каждое из которых собирается из отдельных блоков или тюбингов. Такую обделку применяют преимущественно в мягких грунтах для гидротехнических тоннелей и тоннелей метрополитена.</w:t>
      </w:r>
    </w:p>
    <w:p w14:paraId="1A0548BC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3EDA">
        <w:rPr>
          <w:rFonts w:ascii="Times New Roman" w:hAnsi="Times New Roman" w:cs="Times New Roman"/>
          <w:bCs/>
          <w:sz w:val="24"/>
          <w:szCs w:val="24"/>
        </w:rPr>
        <w:t xml:space="preserve">Тоннели метрополитена глубокого заложения сооружают преимущественно щитовым способом. </w:t>
      </w:r>
      <w:r w:rsidRPr="008B3EDA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Проходческий щит </w:t>
      </w:r>
      <w:r w:rsidRPr="008B3EDA">
        <w:rPr>
          <w:rFonts w:ascii="Times New Roman" w:hAnsi="Times New Roman" w:cs="Times New Roman"/>
          <w:bCs/>
          <w:sz w:val="24"/>
          <w:szCs w:val="24"/>
        </w:rPr>
        <w:t>(рис. 27.2)</w:t>
      </w:r>
    </w:p>
    <w:p w14:paraId="57C413FC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83F9386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A0B4183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CDD2384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AA8727E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B3D2936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462C380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BF2D8E5" w14:textId="77777777" w:rsidR="004E67CF" w:rsidRPr="008B3EDA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C55C6F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noProof/>
          <w:szCs w:val="21"/>
          <w:lang w:eastAsia="ru-RU"/>
        </w:rPr>
        <w:lastRenderedPageBreak/>
        <w:drawing>
          <wp:inline distT="0" distB="0" distL="0" distR="0" wp14:anchorId="6BB5CE8A" wp14:editId="38C17C9E">
            <wp:extent cx="5179674" cy="8137918"/>
            <wp:effectExtent l="19050" t="0" r="192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9024" t="6002" r="9465" b="8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675" cy="8137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77E5B2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79B38932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77A33175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4AAD3DBB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noProof/>
          <w:szCs w:val="21"/>
          <w:lang w:eastAsia="ru-RU"/>
        </w:rPr>
        <w:lastRenderedPageBreak/>
        <w:drawing>
          <wp:inline distT="0" distB="0" distL="0" distR="0" wp14:anchorId="71D6963B" wp14:editId="504E57A9">
            <wp:extent cx="5208998" cy="772616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486" t="5541" r="8773" b="7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998" cy="7726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25FBE2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133CFBD9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2596794B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18B7F456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642542A9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047B28D0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03D957C2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440856B0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0EF27409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065A256F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noProof/>
          <w:szCs w:val="21"/>
          <w:lang w:eastAsia="ru-RU"/>
        </w:rPr>
        <w:lastRenderedPageBreak/>
        <w:drawing>
          <wp:inline distT="0" distB="0" distL="0" distR="0" wp14:anchorId="6885BC8B" wp14:editId="6D9F0BA4">
            <wp:extent cx="5487898" cy="7705618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5194" r="7561" b="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898" cy="7705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5AD496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769A6058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1B6F18B7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1013EAFE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672AC2D3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6E810D77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67EE6EE3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4120E098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2554F0CD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46A6AA2F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noProof/>
          <w:szCs w:val="21"/>
          <w:lang w:eastAsia="ru-RU"/>
        </w:rPr>
        <w:lastRenderedPageBreak/>
        <w:drawing>
          <wp:inline distT="0" distB="0" distL="0" distR="0" wp14:anchorId="098E890B" wp14:editId="3C2C2537">
            <wp:extent cx="4972692" cy="7726166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8678" t="4963" r="7561" b="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692" cy="7726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DBB262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4156FCE5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Cs w:val="21"/>
        </w:rPr>
      </w:pPr>
    </w:p>
    <w:p w14:paraId="4130A5E0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02585433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11A2E97E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31E44CC3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1E6191FC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202A2C6B" w14:textId="77777777" w:rsidR="004E67CF" w:rsidRDefault="004E67CF" w:rsidP="004E67CF">
      <w:pPr>
        <w:tabs>
          <w:tab w:val="left" w:pos="15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lastRenderedPageBreak/>
        <w:drawing>
          <wp:inline distT="0" distB="0" distL="0" distR="0" wp14:anchorId="049C8DFE" wp14:editId="0500090B">
            <wp:extent cx="5188450" cy="773644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986" t="4617" r="4619" b="84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450" cy="7736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F6BD5F" w14:textId="77777777" w:rsidR="004E67CF" w:rsidRDefault="004E67CF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70CB9756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4D79B66D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51585AEC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45A4FC15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65677E21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4E5EA349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lastRenderedPageBreak/>
        <w:drawing>
          <wp:inline distT="0" distB="0" distL="0" distR="0" wp14:anchorId="6D678E36" wp14:editId="38C795B1">
            <wp:extent cx="5498172" cy="8216118"/>
            <wp:effectExtent l="19050" t="0" r="727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7388" b="7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172" cy="821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AB058F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7F00F0D9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6224B3FC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3519ADD4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352E6B58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lastRenderedPageBreak/>
        <w:drawing>
          <wp:inline distT="0" distB="0" distL="0" distR="0" wp14:anchorId="5BC68CAD" wp14:editId="6B0FBFD5">
            <wp:extent cx="5806397" cy="8082554"/>
            <wp:effectExtent l="19050" t="0" r="3853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2196" b="9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397" cy="8082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D8D3D4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29434316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14715905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5B70C6DE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108A1961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1CFC52D7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lastRenderedPageBreak/>
        <w:drawing>
          <wp:inline distT="0" distB="0" distL="0" distR="0" wp14:anchorId="563F394D" wp14:editId="5286209A">
            <wp:extent cx="5354334" cy="8175021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9811" b="8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334" cy="8175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02C937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60EE04EA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263F7F38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6D0044A2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14:paraId="3E55EB05" w14:textId="77777777" w:rsidR="00457F51" w:rsidRDefault="00457F51" w:rsidP="004E67C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lastRenderedPageBreak/>
        <w:drawing>
          <wp:inline distT="0" distB="0" distL="0" distR="0" wp14:anchorId="7E9DA7C8" wp14:editId="013A9CD2">
            <wp:extent cx="5621462" cy="8164747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5311" b="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462" cy="8164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25F583" w14:textId="77777777" w:rsidR="00457F51" w:rsidRDefault="00457F51" w:rsidP="00457F51">
      <w:pPr>
        <w:rPr>
          <w:rFonts w:ascii="Times New Roman" w:hAnsi="Times New Roman" w:cs="Times New Roman"/>
          <w:sz w:val="32"/>
          <w:szCs w:val="28"/>
        </w:rPr>
      </w:pPr>
    </w:p>
    <w:p w14:paraId="28485C23" w14:textId="77777777" w:rsidR="00457F51" w:rsidRDefault="00457F51" w:rsidP="00457F51">
      <w:pPr>
        <w:tabs>
          <w:tab w:val="left" w:pos="3495"/>
        </w:tabs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ab/>
      </w:r>
    </w:p>
    <w:p w14:paraId="7B03715F" w14:textId="77777777" w:rsidR="00457F51" w:rsidRDefault="00457F51" w:rsidP="00457F51">
      <w:pPr>
        <w:tabs>
          <w:tab w:val="left" w:pos="3495"/>
        </w:tabs>
        <w:rPr>
          <w:rFonts w:ascii="Times New Roman" w:hAnsi="Times New Roman" w:cs="Times New Roman"/>
          <w:sz w:val="32"/>
          <w:szCs w:val="28"/>
        </w:rPr>
      </w:pPr>
    </w:p>
    <w:p w14:paraId="4E2139DE" w14:textId="77777777" w:rsidR="00457F51" w:rsidRPr="00457F51" w:rsidRDefault="00457F51" w:rsidP="00457F51">
      <w:pPr>
        <w:tabs>
          <w:tab w:val="left" w:pos="3495"/>
        </w:tabs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lastRenderedPageBreak/>
        <w:drawing>
          <wp:inline distT="0" distB="0" distL="0" distR="0" wp14:anchorId="409ECCD3" wp14:editId="27249EC2">
            <wp:extent cx="5693381" cy="4835920"/>
            <wp:effectExtent l="19050" t="0" r="2569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4100" b="45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381" cy="483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7F51" w:rsidRPr="00457F51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67CF"/>
    <w:rsid w:val="00457F51"/>
    <w:rsid w:val="004E67CF"/>
    <w:rsid w:val="008B3EDA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6A109"/>
  <w15:docId w15:val="{4884C688-1C13-4528-BD0C-99996B9D3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6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67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2021-09-04T18:53:00Z</dcterms:created>
  <dcterms:modified xsi:type="dcterms:W3CDTF">2023-09-17T03:14:00Z</dcterms:modified>
</cp:coreProperties>
</file>